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elacomgrade"/>
        <w:tblW w:w="9644" w:type="dxa"/>
        <w:tblInd w:w="137" w:type="dxa"/>
        <w:tblLook w:val="04A0" w:firstRow="1" w:lastRow="0" w:firstColumn="1" w:lastColumn="0" w:noHBand="0" w:noVBand="1"/>
      </w:tblPr>
      <w:tblGrid>
        <w:gridCol w:w="1105"/>
        <w:gridCol w:w="1723"/>
        <w:gridCol w:w="6816"/>
      </w:tblGrid>
      <w:tr w:rsidR="002E6851" w:rsidRPr="00F2078B" w14:paraId="6BE70FDD" w14:textId="77777777" w:rsidTr="00D42B94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AF795FC" w14:textId="77777777" w:rsidR="002E6851" w:rsidRPr="00F2078B" w:rsidRDefault="00FB1EF4" w:rsidP="009A1116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 wp14:anchorId="7AF304C5" wp14:editId="580AEB8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68580</wp:posOffset>
                  </wp:positionV>
                  <wp:extent cx="560705" cy="612140"/>
                  <wp:effectExtent l="0" t="0" r="0" b="0"/>
                  <wp:wrapSquare wrapText="largest"/>
                  <wp:docPr id="1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8" r="-11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12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1ADD3" w14:textId="77777777" w:rsidR="002E6851" w:rsidRPr="00F2078B" w:rsidRDefault="002E6851" w:rsidP="009A1116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78B">
              <w:rPr>
                <w:rFonts w:ascii="Arial" w:hAnsi="Arial" w:cs="Arial"/>
                <w:b/>
                <w:bCs/>
                <w:sz w:val="18"/>
                <w:szCs w:val="18"/>
              </w:rPr>
              <w:t>PREFEITURA DE CONTAGEM</w:t>
            </w:r>
          </w:p>
          <w:p w14:paraId="2DB66A38" w14:textId="77777777" w:rsidR="002E6851" w:rsidRDefault="002E6851" w:rsidP="009A1116">
            <w:pPr>
              <w:pStyle w:val="Cabealh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078B">
              <w:rPr>
                <w:rFonts w:ascii="Arial" w:hAnsi="Arial" w:cs="Arial"/>
                <w:bCs/>
                <w:sz w:val="18"/>
                <w:szCs w:val="18"/>
              </w:rPr>
              <w:t>Estado de</w:t>
            </w:r>
          </w:p>
          <w:p w14:paraId="4A15B5D8" w14:textId="77777777" w:rsidR="002E6851" w:rsidRPr="00F2078B" w:rsidRDefault="002E6851" w:rsidP="009A111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F2078B">
              <w:rPr>
                <w:rFonts w:ascii="Arial" w:hAnsi="Arial" w:cs="Arial"/>
                <w:bCs/>
                <w:sz w:val="18"/>
                <w:szCs w:val="18"/>
              </w:rPr>
              <w:t>Minas Gerais</w:t>
            </w:r>
          </w:p>
        </w:tc>
        <w:tc>
          <w:tcPr>
            <w:tcW w:w="6816" w:type="dxa"/>
            <w:tcBorders>
              <w:left w:val="single" w:sz="4" w:space="0" w:color="auto"/>
            </w:tcBorders>
            <w:vAlign w:val="center"/>
          </w:tcPr>
          <w:p w14:paraId="3DEDEE98" w14:textId="77777777" w:rsidR="002E6851" w:rsidRPr="002E6851" w:rsidRDefault="002E6851" w:rsidP="002E6851">
            <w:pPr>
              <w:pStyle w:val="Cabealh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PREVISÃO DE RECURSOS ORÇAMENTÁRIOS</w:t>
            </w:r>
          </w:p>
        </w:tc>
      </w:tr>
    </w:tbl>
    <w:p w14:paraId="1A58788A" w14:textId="77777777" w:rsidR="00581487" w:rsidRDefault="00581487">
      <w:pPr>
        <w:rPr>
          <w:rFonts w:ascii="Arial" w:hAnsi="Arial" w:cs="Arial"/>
          <w:sz w:val="10"/>
          <w:szCs w:val="10"/>
        </w:rPr>
      </w:pPr>
    </w:p>
    <w:p w14:paraId="4F15054C" w14:textId="77777777" w:rsidR="001F395B" w:rsidRDefault="001F395B">
      <w:pPr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1560"/>
        <w:gridCol w:w="1134"/>
        <w:gridCol w:w="1842"/>
      </w:tblGrid>
      <w:tr w:rsidR="0034182B" w:rsidRPr="0034182B" w14:paraId="63E13B4D" w14:textId="77777777" w:rsidTr="00345EB6">
        <w:trPr>
          <w:trHeight w:hRule="exact" w:val="567"/>
          <w:tblHeader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9132A" w14:textId="77777777" w:rsidR="0034182B" w:rsidRPr="00FF10DF" w:rsidRDefault="0034182B" w:rsidP="00E4006E">
            <w:pPr>
              <w:tabs>
                <w:tab w:val="left" w:pos="1125"/>
              </w:tabs>
              <w:snapToGrid w:val="0"/>
              <w:spacing w:before="20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DF">
              <w:rPr>
                <w:rFonts w:ascii="Arial" w:hAnsi="Arial" w:cs="Arial"/>
                <w:b/>
                <w:sz w:val="20"/>
                <w:szCs w:val="20"/>
              </w:rPr>
              <w:t>GERAÇÃO DE DESPESA A SER REALIZADA TOTALMENTE NESTE EXERCÍCIO FINANCEIRO</w:t>
            </w:r>
          </w:p>
        </w:tc>
      </w:tr>
      <w:tr w:rsidR="0034182B" w:rsidRPr="00D051F9" w14:paraId="4BB4C9B9" w14:textId="77777777" w:rsidTr="003606D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DB5A" w14:textId="77777777" w:rsidR="0034182B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rgão responsável pela despesa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67F87E" w14:textId="77777777" w:rsidR="00FD037E" w:rsidRPr="00FF10DF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82B" w:rsidRPr="00D051F9" w14:paraId="0A6D1399" w14:textId="77777777" w:rsidTr="003606DF">
        <w:tc>
          <w:tcPr>
            <w:tcW w:w="6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90C6" w14:textId="77777777" w:rsidR="0034182B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bjeto da despesa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E0293" w14:textId="77777777" w:rsidR="00FD037E" w:rsidRPr="00FF10DF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AAFA" w14:textId="52904ABA" w:rsidR="0034182B" w:rsidRDefault="002B7795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º</w:t>
            </w:r>
            <w:r w:rsidR="00FD037E">
              <w:rPr>
                <w:rFonts w:ascii="Arial" w:hAnsi="Arial" w:cs="Arial"/>
                <w:sz w:val="20"/>
                <w:szCs w:val="20"/>
              </w:rPr>
              <w:t>V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alor</w:t>
            </w:r>
            <w:proofErr w:type="spellEnd"/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 estimado da despesa</w:t>
            </w:r>
            <w:r w:rsidR="00FD03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4D100A" w14:textId="77777777" w:rsidR="00FD037E" w:rsidRPr="00FF10DF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82B" w:rsidRPr="00D051F9" w14:paraId="231EA9CE" w14:textId="77777777" w:rsidTr="009233D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E65" w14:textId="3EF11F67" w:rsidR="0034182B" w:rsidRPr="009233D3" w:rsidRDefault="009233D3" w:rsidP="00DD6ED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eclaro, para os fins do disposto nos artigos 7º, § 2º, </w:t>
            </w:r>
            <w:r w:rsidRPr="00FF10DF">
              <w:rPr>
                <w:rFonts w:ascii="Arial" w:hAnsi="Arial" w:cs="Arial"/>
                <w:sz w:val="20"/>
                <w:szCs w:val="20"/>
              </w:rPr>
              <w:t xml:space="preserve">III, IV 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e 14 da </w:t>
            </w:r>
            <w:r>
              <w:rPr>
                <w:rFonts w:ascii="Arial" w:hAnsi="Arial" w:cs="Arial"/>
                <w:sz w:val="20"/>
                <w:szCs w:val="20"/>
              </w:rPr>
              <w:t xml:space="preserve">Lei Federal nº 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8.666/93</w:t>
            </w:r>
            <w:r w:rsidR="007A0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E78" w:rsidRPr="002B77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(ou art. </w:t>
            </w:r>
            <w:r w:rsidR="002B7795" w:rsidRPr="002B7795">
              <w:rPr>
                <w:rFonts w:ascii="Arial" w:hAnsi="Arial" w:cs="Arial"/>
                <w:sz w:val="20"/>
                <w:szCs w:val="20"/>
                <w:highlight w:val="yellow"/>
              </w:rPr>
              <w:t>6º, XXXIII, j e XXV, f; art. 11, Parágrafo único e art. 18 da Lei 14.133/2021)</w:t>
            </w:r>
            <w:r w:rsidR="002B7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ei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omplementar </w:t>
            </w:r>
            <w:r>
              <w:rPr>
                <w:rFonts w:ascii="Arial" w:hAnsi="Arial" w:cs="Arial"/>
                <w:sz w:val="20"/>
                <w:szCs w:val="20"/>
              </w:rPr>
              <w:t xml:space="preserve">Federal 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nº 101/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00, a existência de recursos orçamentários e financeiros para a despesa estimada na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olicitação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ompras nº ________________, que será integralmente realizada no exercício financeiro corrente, sem gerar impacto orçamentário-financeiro nos exercícios subsequentes, sob a seguinte dotação orçamentária:</w:t>
            </w:r>
          </w:p>
        </w:tc>
      </w:tr>
      <w:tr w:rsidR="00057C4A" w14:paraId="434D31BD" w14:textId="77777777" w:rsidTr="0001660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17C1" w14:textId="77777777" w:rsidR="00057C4A" w:rsidRPr="00AE156C" w:rsidRDefault="00057C4A" w:rsidP="00DD6ED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56C">
              <w:rPr>
                <w:rFonts w:ascii="Arial" w:hAnsi="Arial" w:cs="Arial"/>
                <w:b/>
                <w:sz w:val="20"/>
                <w:szCs w:val="20"/>
              </w:rPr>
              <w:t>DOTAÇÃO ORÇAMENTÁRIA</w:t>
            </w:r>
          </w:p>
        </w:tc>
      </w:tr>
      <w:tr w:rsidR="00057C4A" w:rsidRPr="00A37CB5" w14:paraId="034931F1" w14:textId="77777777" w:rsidTr="003606D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E559" w14:textId="77777777" w:rsidR="00057C4A" w:rsidRPr="00A37CB5" w:rsidRDefault="00057C4A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37CB5" w:rsidRPr="00A37CB5">
              <w:rPr>
                <w:rFonts w:ascii="Arial" w:hAnsi="Arial" w:cs="Arial"/>
                <w:b/>
                <w:sz w:val="20"/>
                <w:szCs w:val="20"/>
              </w:rPr>
              <w:t>nidade Orçamentária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37F5" w14:textId="77777777" w:rsidR="00057C4A" w:rsidRPr="00A37CB5" w:rsidRDefault="00A37CB5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Projeto/Atividade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ADC9" w14:textId="77777777" w:rsidR="00057C4A" w:rsidRPr="00A37CB5" w:rsidRDefault="00A37CB5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Elemento da Despesa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D48E" w14:textId="77777777" w:rsidR="00057C4A" w:rsidRPr="00A37CB5" w:rsidRDefault="00A37CB5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Fonte</w:t>
            </w:r>
          </w:p>
        </w:tc>
      </w:tr>
      <w:tr w:rsidR="00057C4A" w14:paraId="35CC48BA" w14:textId="77777777" w:rsidTr="003606D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A2AC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7C32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8799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AE9B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1F9" w:rsidRPr="00D051F9" w14:paraId="23C06AA4" w14:textId="77777777" w:rsidTr="005F6BAD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C7EE" w14:textId="494295AE" w:rsidR="00D051F9" w:rsidRDefault="00A37CB5" w:rsidP="00EA79C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 xml:space="preserve">eclaro, nos termos do art. 7º, § 2º, inciso 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 xml:space="preserve"> da </w:t>
            </w:r>
            <w:r>
              <w:rPr>
                <w:rFonts w:ascii="Arial" w:hAnsi="Arial" w:cs="Arial"/>
                <w:sz w:val="20"/>
                <w:szCs w:val="20"/>
              </w:rPr>
              <w:t>Lei F</w:t>
            </w:r>
            <w:r w:rsidR="008201E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deral nº 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>8.666/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>93</w:t>
            </w:r>
            <w:r w:rsidR="002B77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795" w:rsidRPr="0000007A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proofErr w:type="gramEnd"/>
            <w:r w:rsidR="002B7795" w:rsidRPr="0000007A">
              <w:rPr>
                <w:rFonts w:ascii="Arial" w:hAnsi="Arial" w:cs="Arial"/>
                <w:sz w:val="20"/>
                <w:szCs w:val="20"/>
                <w:highlight w:val="yellow"/>
              </w:rPr>
              <w:t>ou art. 18 da Lei Federal nº14.133/2021)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 xml:space="preserve">, que o objeto deste certame está contemplado nas metas estabelecidas no </w:t>
            </w:r>
            <w:r>
              <w:rPr>
                <w:rFonts w:ascii="Arial" w:hAnsi="Arial" w:cs="Arial"/>
                <w:sz w:val="20"/>
                <w:szCs w:val="20"/>
              </w:rPr>
              <w:t>PPA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LDO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 xml:space="preserve">, bem como previstos na </w:t>
            </w:r>
            <w:r>
              <w:rPr>
                <w:rFonts w:ascii="Arial" w:hAnsi="Arial" w:cs="Arial"/>
                <w:sz w:val="20"/>
                <w:szCs w:val="20"/>
              </w:rPr>
              <w:t>LOA</w:t>
            </w:r>
            <w:r w:rsidR="009F56B5" w:rsidRPr="00AE15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18F6C9" w14:textId="77777777" w:rsidR="00EA79CA" w:rsidRPr="00AE156C" w:rsidRDefault="00EA79CA" w:rsidP="00EA79CA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AE156C">
              <w:rPr>
                <w:rFonts w:ascii="Arial" w:hAnsi="Arial" w:cs="Arial"/>
                <w:sz w:val="20"/>
                <w:szCs w:val="20"/>
              </w:rPr>
              <w:t xml:space="preserve">ntagem,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AE156C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AE156C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AE1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01E3" w:rsidRPr="00D051F9" w14:paraId="1AD1836E" w14:textId="77777777" w:rsidTr="008201E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574" w14:textId="77777777" w:rsidR="008201E3" w:rsidRDefault="008201E3" w:rsidP="008201E3">
            <w:pPr>
              <w:snapToGrid w:val="0"/>
              <w:spacing w:before="120" w:after="120"/>
              <w:rPr>
                <w:i/>
                <w:sz w:val="21"/>
                <w:szCs w:val="21"/>
                <w:lang w:eastAsia="pt-BR"/>
              </w:rPr>
            </w:pPr>
            <w:r w:rsidRPr="008A14DF">
              <w:rPr>
                <w:i/>
                <w:sz w:val="21"/>
                <w:szCs w:val="21"/>
                <w:lang w:eastAsia="pt-BR"/>
              </w:rPr>
              <w:t>Nome, matrícula e assinatura do responsável pela elaboração d</w:t>
            </w:r>
            <w:r>
              <w:rPr>
                <w:i/>
                <w:sz w:val="21"/>
                <w:szCs w:val="21"/>
                <w:lang w:eastAsia="pt-BR"/>
              </w:rPr>
              <w:t>a Previsão de Recursos Orçamentários</w:t>
            </w:r>
          </w:p>
          <w:p w14:paraId="3ABA5EBE" w14:textId="77777777" w:rsidR="00693EF7" w:rsidRDefault="00693EF7" w:rsidP="008201E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E3" w:rsidRPr="00D051F9" w14:paraId="35B544E5" w14:textId="77777777" w:rsidTr="008201E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5B8" w14:textId="77777777" w:rsidR="008201E3" w:rsidRDefault="008201E3" w:rsidP="008201E3">
            <w:pPr>
              <w:snapToGri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3180D">
              <w:rPr>
                <w:rFonts w:ascii="Arial" w:hAnsi="Arial" w:cs="Arial"/>
                <w:sz w:val="20"/>
                <w:szCs w:val="20"/>
                <w:lang w:eastAsia="pt-BR"/>
              </w:rPr>
              <w:t>DE ACORDO DO ORDENADOR DE DESPESA:</w:t>
            </w:r>
          </w:p>
          <w:p w14:paraId="4532EDFA" w14:textId="77777777" w:rsidR="008201E3" w:rsidRDefault="008201E3" w:rsidP="008201E3">
            <w:pPr>
              <w:snapToGrid w:val="0"/>
              <w:spacing w:before="120" w:after="120"/>
              <w:rPr>
                <w:i/>
                <w:sz w:val="21"/>
                <w:szCs w:val="21"/>
                <w:lang w:eastAsia="pt-BR"/>
              </w:rPr>
            </w:pPr>
            <w:r w:rsidRPr="00AD69CD">
              <w:rPr>
                <w:i/>
                <w:sz w:val="21"/>
                <w:szCs w:val="21"/>
                <w:lang w:eastAsia="pt-BR"/>
              </w:rPr>
              <w:t>(assinatura e carimbo)</w:t>
            </w:r>
          </w:p>
          <w:p w14:paraId="4DE06CA8" w14:textId="77777777" w:rsidR="00693EF7" w:rsidRPr="008A14DF" w:rsidRDefault="00693EF7" w:rsidP="008201E3">
            <w:pPr>
              <w:snapToGrid w:val="0"/>
              <w:spacing w:before="120" w:after="120"/>
              <w:rPr>
                <w:i/>
                <w:sz w:val="21"/>
                <w:szCs w:val="21"/>
                <w:lang w:eastAsia="pt-BR"/>
              </w:rPr>
            </w:pPr>
          </w:p>
        </w:tc>
      </w:tr>
    </w:tbl>
    <w:p w14:paraId="0620D332" w14:textId="77777777" w:rsidR="008201E3" w:rsidRDefault="008201E3">
      <w:pPr>
        <w:rPr>
          <w:rFonts w:ascii="Arial" w:hAnsi="Arial" w:cs="Arial"/>
          <w:sz w:val="20"/>
          <w:szCs w:val="20"/>
        </w:rPr>
      </w:pPr>
    </w:p>
    <w:p w14:paraId="3452DC03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69CF376E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4D8E56B8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68A1AFED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1DE70432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4298B79F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77C93735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7D57F465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3247C88B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06E54E19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25F1C124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468B546D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6A32A4F9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33EFDA52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13974AEB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2E21C5A8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60A87EEB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3B19E2C0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6B1CB05F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46A7176F" w14:textId="77777777" w:rsidR="009366E9" w:rsidRDefault="009366E9">
      <w:pPr>
        <w:rPr>
          <w:rFonts w:ascii="Arial" w:hAnsi="Arial" w:cs="Arial"/>
          <w:sz w:val="20"/>
          <w:szCs w:val="20"/>
        </w:rPr>
      </w:pPr>
    </w:p>
    <w:p w14:paraId="133ADEF5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b/>
          <w:sz w:val="20"/>
          <w:szCs w:val="20"/>
          <w:lang w:eastAsia="pt-BR"/>
        </w:rPr>
        <w:t>INFORMATIVO ACERCA DO PREENCHIMENTO DE PREVISÃO DE RECURSOS ORÇAMENTÁRIOS</w:t>
      </w:r>
    </w:p>
    <w:p w14:paraId="54882A7B" w14:textId="77777777" w:rsidR="003E2AD3" w:rsidRPr="002C4A00" w:rsidRDefault="003E2AD3" w:rsidP="003E2AD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t-BR"/>
        </w:rPr>
      </w:pPr>
    </w:p>
    <w:p w14:paraId="06D2837C" w14:textId="77777777" w:rsidR="009366E9" w:rsidRPr="002C4A00" w:rsidRDefault="00F915F7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b/>
          <w:sz w:val="20"/>
          <w:szCs w:val="20"/>
          <w:lang w:eastAsia="pt-BR"/>
        </w:rPr>
        <w:t>Introdução</w:t>
      </w:r>
    </w:p>
    <w:p w14:paraId="550AD482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>Antes de preenchimento do documento de “Previsão de Recursos Orçamentários” e, no intuito de facilitar o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planejamento da execução orçamentária e, consequentemente, a escolha do formulário correto de previsão de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recursos para instrumentalizar a Solicitação de Compras, apresenta-se, abaixo, alguns aspectos para análise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pelo agente, bem como conceitos importantes para a compreensão dos documentos.</w:t>
      </w:r>
    </w:p>
    <w:p w14:paraId="1B875C5D" w14:textId="77777777" w:rsidR="009366E9" w:rsidRPr="002C4A00" w:rsidRDefault="00F915F7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b/>
          <w:sz w:val="20"/>
          <w:szCs w:val="20"/>
          <w:lang w:eastAsia="pt-BR"/>
        </w:rPr>
        <w:t>Aspectos para Análise</w:t>
      </w:r>
    </w:p>
    <w:p w14:paraId="32EF2D29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O agente deverá contextualizar sua </w:t>
      </w:r>
      <w:r w:rsidR="00F915F7" w:rsidRPr="002C4A00">
        <w:rPr>
          <w:rFonts w:asciiTheme="minorHAnsi" w:hAnsiTheme="minorHAnsi" w:cstheme="minorHAnsi"/>
          <w:sz w:val="20"/>
          <w:szCs w:val="20"/>
          <w:lang w:eastAsia="pt-BR"/>
        </w:rPr>
        <w:t>S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olicitação de </w:t>
      </w:r>
      <w:r w:rsidR="00F915F7" w:rsidRPr="002C4A00">
        <w:rPr>
          <w:rFonts w:asciiTheme="minorHAnsi" w:hAnsiTheme="minorHAnsi" w:cstheme="minorHAnsi"/>
          <w:sz w:val="20"/>
          <w:szCs w:val="20"/>
          <w:lang w:eastAsia="pt-BR"/>
        </w:rPr>
        <w:t>C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ompras dentro de suas ações governamentais. Assim:</w:t>
      </w:r>
    </w:p>
    <w:p w14:paraId="1CA43B6A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A </w:t>
      </w:r>
      <w:r w:rsidR="00F915F7" w:rsidRPr="002C4A00">
        <w:rPr>
          <w:rFonts w:asciiTheme="minorHAnsi" w:hAnsiTheme="minorHAnsi" w:cstheme="minorHAnsi"/>
          <w:sz w:val="20"/>
          <w:szCs w:val="20"/>
          <w:lang w:eastAsia="pt-BR"/>
        </w:rPr>
        <w:t>S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olicitação de </w:t>
      </w:r>
      <w:r w:rsidR="00F915F7" w:rsidRPr="002C4A00">
        <w:rPr>
          <w:rFonts w:asciiTheme="minorHAnsi" w:hAnsiTheme="minorHAnsi" w:cstheme="minorHAnsi"/>
          <w:sz w:val="20"/>
          <w:szCs w:val="20"/>
          <w:lang w:eastAsia="pt-BR"/>
        </w:rPr>
        <w:t>C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ompras reflete qual ação do </w:t>
      </w:r>
      <w:r w:rsidR="00F915F7" w:rsidRPr="002C4A00">
        <w:rPr>
          <w:rFonts w:asciiTheme="minorHAnsi" w:hAnsiTheme="minorHAnsi" w:cstheme="minorHAnsi"/>
          <w:sz w:val="20"/>
          <w:szCs w:val="20"/>
          <w:lang w:eastAsia="pt-BR"/>
        </w:rPr>
        <w:t>s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etor? O que ela gera como </w:t>
      </w:r>
      <w:r w:rsidR="003E6FBC" w:rsidRPr="002C4A00">
        <w:rPr>
          <w:rFonts w:asciiTheme="minorHAnsi" w:hAnsiTheme="minorHAnsi" w:cstheme="minorHAnsi"/>
          <w:sz w:val="20"/>
          <w:szCs w:val="20"/>
          <w:lang w:eastAsia="pt-BR"/>
        </w:rPr>
        <w:t>consequência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? Gera aumento na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manutenção, de pessoal ou de outras atividades do setor? A </w:t>
      </w:r>
      <w:r w:rsidR="00F915F7" w:rsidRPr="002C4A00">
        <w:rPr>
          <w:rFonts w:asciiTheme="minorHAnsi" w:hAnsiTheme="minorHAnsi" w:cstheme="minorHAnsi"/>
          <w:sz w:val="20"/>
          <w:szCs w:val="20"/>
          <w:lang w:eastAsia="pt-BR"/>
        </w:rPr>
        <w:t>a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ção já estava prevista nas metas da Secretaria? É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uma atividade recorrente? Se este é o caso, mantém-se o público alvo da ação ou haverá uma ampliação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superior à estimada? A despesa ocorrerá apenas nesse ano – exercício financeiro </w:t>
      </w:r>
      <w:r w:rsidR="00F915F7" w:rsidRPr="002C4A00">
        <w:rPr>
          <w:rFonts w:asciiTheme="minorHAnsi" w:hAnsiTheme="minorHAnsi" w:cstheme="minorHAnsi"/>
          <w:sz w:val="20"/>
          <w:szCs w:val="20"/>
          <w:lang w:eastAsia="pt-BR"/>
        </w:rPr>
        <w:t>–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ou no próximo também?</w:t>
      </w:r>
      <w:r w:rsidR="003E6FBC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Assim, após refletir acerca dessas questões, o agente terá maior facilidade para definir qual instrumento a ser</w:t>
      </w:r>
      <w:r w:rsidR="003E6FBC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utilizado, considerando se haverá criação, expansão ou aperfeiçoamento da ação governamental que acarrete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aumento de despesa, quando deverá utilizar o formulário de Geração de Despesa a ser realizada em mais de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um exercício.</w:t>
      </w:r>
    </w:p>
    <w:p w14:paraId="638809DA" w14:textId="77777777" w:rsidR="009366E9" w:rsidRPr="002C4A00" w:rsidRDefault="00F915F7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b/>
          <w:sz w:val="20"/>
          <w:szCs w:val="20"/>
          <w:lang w:eastAsia="pt-BR"/>
        </w:rPr>
        <w:t>Conceitos</w:t>
      </w:r>
    </w:p>
    <w:p w14:paraId="74EEE0CF" w14:textId="77777777" w:rsidR="009366E9" w:rsidRPr="002C4A00" w:rsidRDefault="00F915F7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u w:val="single"/>
          <w:lang w:eastAsia="pt-BR"/>
        </w:rPr>
        <w:t>Exercício financeiro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: e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m conformidade com o artigo 34 da Lei nº 4.320/64, o início e o término do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exercício financeiro correspondem ao início e término do ano civil, assim de 1º de janeiro a 31 de dezembro.</w:t>
      </w:r>
    </w:p>
    <w:p w14:paraId="0B3365A1" w14:textId="77777777" w:rsidR="009366E9" w:rsidRPr="002C4A00" w:rsidRDefault="00F915F7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u w:val="single"/>
          <w:lang w:eastAsia="pt-BR"/>
        </w:rPr>
        <w:t>Despesa realizada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: 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despesas reconhecidas no momento da ocorrência do fato gerador, independente do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pagamento.</w:t>
      </w:r>
    </w:p>
    <w:p w14:paraId="4DCE91DA" w14:textId="77777777" w:rsidR="009366E9" w:rsidRPr="002C4A00" w:rsidRDefault="00F915F7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u w:val="single"/>
          <w:lang w:eastAsia="pt-BR"/>
        </w:rPr>
        <w:t>Geração de despesa a ser realizada totalmente neste exercício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: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n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esse formulário incluem-se as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despesas a serem geradas no exercício financeiro em curso, dentro da dotação orçamentária prevista, sem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necessidade de remanejamento ou adequação orçamentária para seu pagamento.</w:t>
      </w:r>
    </w:p>
    <w:p w14:paraId="08BE3329" w14:textId="77777777" w:rsidR="009366E9" w:rsidRPr="002C4A00" w:rsidRDefault="00F915F7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u w:val="single"/>
          <w:lang w:eastAsia="pt-BR"/>
        </w:rPr>
        <w:t>Geração de despesa a ser realizada em mais de um exercício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: n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esse formulário incluem-se despesas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9366E9" w:rsidRPr="002C4A00">
        <w:rPr>
          <w:rFonts w:asciiTheme="minorHAnsi" w:hAnsiTheme="minorHAnsi" w:cstheme="minorHAnsi"/>
          <w:sz w:val="20"/>
          <w:szCs w:val="20"/>
          <w:lang w:eastAsia="pt-BR"/>
        </w:rPr>
        <w:t>geradas no exercício financeiro em curso, mas que ultrapassam o término do exercício, assim entendidas:</w:t>
      </w:r>
    </w:p>
    <w:p w14:paraId="03BD7301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>• criação, expansão, aperfeiçoamento de ações que gerem aumento de despesa – aqui entendidas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aquelas que direta ou indiretamente acarretam aumento de despesa para o município, não contempladas no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orçamento (art. 16 da LRF);</w:t>
      </w:r>
    </w:p>
    <w:p w14:paraId="15F1AF4E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>• despesas que requeiram remanejamento, adequação, suplementação orçamentária (mesmo que o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remanejamento esteja dentro do percentual permitido pela LDO ou aprovado pela Câmara Municipal, a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adequação orçamentária exige avaliação de seu impacto, bem como declaração de adequação com as demais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leis de diretrizes e PPA) (Art. 16 da LRF);</w:t>
      </w:r>
    </w:p>
    <w:p w14:paraId="73DEF0D1" w14:textId="01513BE5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>• serviços contínuos, assim entendidos os serviços que poderão ter sua duração prorrogada por iguais e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sucessivos períodos, podendo perdurar por até 60 me</w:t>
      </w:r>
      <w:r w:rsidR="00084316">
        <w:rPr>
          <w:rFonts w:asciiTheme="minorHAnsi" w:hAnsiTheme="minorHAnsi" w:cstheme="minorHAnsi"/>
          <w:sz w:val="20"/>
          <w:szCs w:val="20"/>
          <w:lang w:eastAsia="pt-BR"/>
        </w:rPr>
        <w:t xml:space="preserve">ses (Art. 57 da Lei 8666/93) </w:t>
      </w:r>
      <w:r w:rsidR="00084316" w:rsidRPr="00084316">
        <w:rPr>
          <w:rFonts w:asciiTheme="minorHAnsi" w:hAnsiTheme="minorHAnsi" w:cstheme="minorHAnsi"/>
          <w:sz w:val="20"/>
          <w:szCs w:val="20"/>
          <w:highlight w:val="yellow"/>
          <w:lang w:eastAsia="pt-BR"/>
        </w:rPr>
        <w:t>ou até 10 anos (art. 107 da Lei 14.133/2021).</w:t>
      </w:r>
    </w:p>
    <w:p w14:paraId="4AC96595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>• despesas obrigatórias de caráter continuado, despesas oriundas de lei, medida provisória ou ato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administrativo normativo que fixem para o ente a obrigação legal de sua execução por um período superior a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dois exercícios que CRIEM OU AUMENTEM DESPESA (Art. 17 e § 1º da LRF)</w:t>
      </w:r>
      <w:r w:rsidR="00C42CE6" w:rsidRPr="002C4A00"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p w14:paraId="2B4ACF16" w14:textId="77777777" w:rsidR="009366E9" w:rsidRPr="002C4A00" w:rsidRDefault="009366E9" w:rsidP="00B060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>• despesas que gerem contratos que ultrapassarão o exercício financeiro em curso, ou seja, contratos</w:t>
      </w:r>
      <w:r w:rsidR="00D020FA"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>que passem de um ano para outro, mesmo que não sejam de caráter continuado (Art. 16 da LRF);</w:t>
      </w:r>
    </w:p>
    <w:p w14:paraId="6FF73D2E" w14:textId="77777777" w:rsidR="009366E9" w:rsidRPr="002C4A00" w:rsidRDefault="009366E9" w:rsidP="00B060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• demais hipóteses que influenciem o orçamento do ano </w:t>
      </w:r>
      <w:r w:rsidR="003E6FBC" w:rsidRPr="002C4A00">
        <w:rPr>
          <w:rFonts w:asciiTheme="minorHAnsi" w:hAnsiTheme="minorHAnsi" w:cstheme="minorHAnsi"/>
          <w:sz w:val="20"/>
          <w:szCs w:val="20"/>
          <w:lang w:eastAsia="pt-BR"/>
        </w:rPr>
        <w:t>subsequente</w:t>
      </w:r>
      <w:r w:rsidRPr="002C4A00">
        <w:rPr>
          <w:rFonts w:asciiTheme="minorHAnsi" w:hAnsiTheme="minorHAnsi" w:cstheme="minorHAnsi"/>
          <w:sz w:val="20"/>
          <w:szCs w:val="20"/>
          <w:lang w:eastAsia="pt-BR"/>
        </w:rPr>
        <w:t xml:space="preserve"> (Art. 16 da LRF</w:t>
      </w:r>
      <w:r w:rsidR="00D020FA" w:rsidRPr="002C4A00">
        <w:rPr>
          <w:rFonts w:asciiTheme="minorHAnsi" w:hAnsiTheme="minorHAnsi" w:cstheme="minorHAnsi"/>
          <w:sz w:val="20"/>
          <w:szCs w:val="20"/>
        </w:rPr>
        <w:t>).</w:t>
      </w:r>
    </w:p>
    <w:sectPr w:rsidR="009366E9" w:rsidRPr="002C4A00" w:rsidSect="009366E9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95B"/>
    <w:rsid w:val="0000007A"/>
    <w:rsid w:val="000057A0"/>
    <w:rsid w:val="00016601"/>
    <w:rsid w:val="0002150C"/>
    <w:rsid w:val="00046991"/>
    <w:rsid w:val="000572CB"/>
    <w:rsid w:val="00057C4A"/>
    <w:rsid w:val="00067054"/>
    <w:rsid w:val="00084316"/>
    <w:rsid w:val="001C0236"/>
    <w:rsid w:val="001E3DAE"/>
    <w:rsid w:val="001E521C"/>
    <w:rsid w:val="001F395B"/>
    <w:rsid w:val="00200A58"/>
    <w:rsid w:val="00205B77"/>
    <w:rsid w:val="00254227"/>
    <w:rsid w:val="002718B8"/>
    <w:rsid w:val="00274F6E"/>
    <w:rsid w:val="002B41C2"/>
    <w:rsid w:val="002B7795"/>
    <w:rsid w:val="002C4A00"/>
    <w:rsid w:val="002E6851"/>
    <w:rsid w:val="0034182B"/>
    <w:rsid w:val="00345EB6"/>
    <w:rsid w:val="003606DF"/>
    <w:rsid w:val="003A3375"/>
    <w:rsid w:val="003E2AD3"/>
    <w:rsid w:val="003E6FBC"/>
    <w:rsid w:val="003F74BE"/>
    <w:rsid w:val="004261E7"/>
    <w:rsid w:val="004C7E20"/>
    <w:rsid w:val="00504A8F"/>
    <w:rsid w:val="00581487"/>
    <w:rsid w:val="005B7F0F"/>
    <w:rsid w:val="005C1591"/>
    <w:rsid w:val="005C662A"/>
    <w:rsid w:val="005E096F"/>
    <w:rsid w:val="005F6BAD"/>
    <w:rsid w:val="006420D5"/>
    <w:rsid w:val="006518A3"/>
    <w:rsid w:val="006930D1"/>
    <w:rsid w:val="00693EF7"/>
    <w:rsid w:val="006C4713"/>
    <w:rsid w:val="006C55AC"/>
    <w:rsid w:val="00735FAF"/>
    <w:rsid w:val="00737FF9"/>
    <w:rsid w:val="007A0E78"/>
    <w:rsid w:val="008201E3"/>
    <w:rsid w:val="00825121"/>
    <w:rsid w:val="0085584A"/>
    <w:rsid w:val="00885FF9"/>
    <w:rsid w:val="0089477F"/>
    <w:rsid w:val="008D1087"/>
    <w:rsid w:val="008D21C5"/>
    <w:rsid w:val="0091517D"/>
    <w:rsid w:val="009233D3"/>
    <w:rsid w:val="009366E9"/>
    <w:rsid w:val="00996506"/>
    <w:rsid w:val="009E7F3B"/>
    <w:rsid w:val="009F0456"/>
    <w:rsid w:val="009F50EA"/>
    <w:rsid w:val="009F56B5"/>
    <w:rsid w:val="00A2066D"/>
    <w:rsid w:val="00A37CB5"/>
    <w:rsid w:val="00A52BE9"/>
    <w:rsid w:val="00A72465"/>
    <w:rsid w:val="00AD5D89"/>
    <w:rsid w:val="00AE156C"/>
    <w:rsid w:val="00AE278A"/>
    <w:rsid w:val="00AF356A"/>
    <w:rsid w:val="00B0608D"/>
    <w:rsid w:val="00C11A24"/>
    <w:rsid w:val="00C129F4"/>
    <w:rsid w:val="00C42CE6"/>
    <w:rsid w:val="00C52CAF"/>
    <w:rsid w:val="00C66655"/>
    <w:rsid w:val="00C82147"/>
    <w:rsid w:val="00C97257"/>
    <w:rsid w:val="00CC7850"/>
    <w:rsid w:val="00D020FA"/>
    <w:rsid w:val="00D051F9"/>
    <w:rsid w:val="00D17B83"/>
    <w:rsid w:val="00D42B94"/>
    <w:rsid w:val="00D42C33"/>
    <w:rsid w:val="00DC27A2"/>
    <w:rsid w:val="00DD6EDC"/>
    <w:rsid w:val="00DF73F9"/>
    <w:rsid w:val="00E01C63"/>
    <w:rsid w:val="00E35346"/>
    <w:rsid w:val="00E4006E"/>
    <w:rsid w:val="00EA79CA"/>
    <w:rsid w:val="00EB1767"/>
    <w:rsid w:val="00F1677D"/>
    <w:rsid w:val="00F915F7"/>
    <w:rsid w:val="00FB1EF4"/>
    <w:rsid w:val="00FB2791"/>
    <w:rsid w:val="00FC3610"/>
    <w:rsid w:val="00FD037E"/>
    <w:rsid w:val="00FD74F5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46231"/>
  <w15:docId w15:val="{E1832E59-3673-49FA-9A99-9259C54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16"/>
      <w:lang w:val="pt-PT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2pt">
    <w:name w:val="Normal + 2 pt"/>
    <w:basedOn w:val="Normal"/>
    <w:rPr>
      <w:rFonts w:ascii="Arial" w:hAnsi="Arial" w:cs="Arial"/>
      <w:sz w:val="4"/>
      <w:szCs w:val="4"/>
    </w:rPr>
  </w:style>
  <w:style w:type="paragraph" w:customStyle="1" w:styleId="Normal2pt0">
    <w:name w:val="Normal +2 pt"/>
    <w:basedOn w:val="Normal"/>
    <w:rPr>
      <w:rFonts w:ascii="Arial" w:hAnsi="Arial" w:cs="Arial"/>
      <w:sz w:val="4"/>
      <w:szCs w:val="4"/>
    </w:rPr>
  </w:style>
  <w:style w:type="paragraph" w:customStyle="1" w:styleId="Normal2pt1">
    <w:name w:val="Normal +  2 pt"/>
    <w:basedOn w:val="Normal"/>
    <w:rPr>
      <w:rFonts w:ascii="Arial" w:hAnsi="Arial" w:cs="Arial"/>
      <w:sz w:val="4"/>
      <w:szCs w:val="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1F395B"/>
    <w:pPr>
      <w:ind w:left="708"/>
    </w:pPr>
  </w:style>
  <w:style w:type="table" w:styleId="Tabelacomgrade">
    <w:name w:val="Table Grid"/>
    <w:basedOn w:val="Tabelanormal"/>
    <w:uiPriority w:val="39"/>
    <w:rsid w:val="002E68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5CAC-FDAF-4435-B25E-28093A27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Santusa Lopes dos Santos Ferreira</cp:lastModifiedBy>
  <cp:revision>2</cp:revision>
  <cp:lastPrinted>2008-04-15T19:14:00Z</cp:lastPrinted>
  <dcterms:created xsi:type="dcterms:W3CDTF">2021-06-07T11:16:00Z</dcterms:created>
  <dcterms:modified xsi:type="dcterms:W3CDTF">2021-06-07T11:16:00Z</dcterms:modified>
</cp:coreProperties>
</file>